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pPr>
      <w:r>
        <w:t xml:space="preserve">中小M&amp;Aガイドライン(第3版)遵守事項チェックシート</w:t>
      </w:r>
    </w:p>
    <w:p>
      <w:pPr>
        <w:spacing w:after="100"/>
      </w:pPr>
      <w:r>
        <w:rPr>
          <w:b/>
          <w:bCs/>
          <w:sz w:val="24"/>
          <w:szCs w:val="24"/>
        </w:rPr>
        <w:t xml:space="preserve">ASパートナーズ株式会社</w:t>
      </w:r>
    </w:p>
    <w:p>
      <w:pPr>
        <w:spacing w:after="300"/>
      </w:pPr>
      <w:r>
        <w:rPr>
          <w:sz w:val="22"/>
          <w:szCs w:val="22"/>
        </w:rPr>
        <w:t xml:space="preserve">確認日:　2026年8月20日　　　確認者:　代表取締役　工藤　健二</w:t>
      </w:r>
    </w:p>
    <w:p>
      <w:pPr>
        <w:pStyle w:val="Heading2"/>
        <w:spacing w:after="120" w:before="240"/>
      </w:pPr>
      <w:r>
        <w:t xml:space="preserve">○支援の質の確保・向上に向けた取組</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1　依頼者との契約に基づく義務を履行する(善管注意義務、利益相反の禁止、仲介の場合は公平・公正な対応)</w:t>
            </w:r>
          </w:p>
        </w:tc>
      </w:tr>
      <w:tr>
        <w:tc>
          <w:tcPr>
            <w:tcW w:type="dxa" w:w="900"/>
          </w:tcPr>
          <w:p>
            <w:pPr>
              <w:jc w:val="center"/>
            </w:pPr>
            <w:r>
              <w:t xml:space="preserve">☑</w:t>
            </w:r>
          </w:p>
        </w:tc>
        <w:tc>
          <w:tcPr>
            <w:tcW w:type="dxa" w:w="8500"/>
          </w:tcPr>
          <w:p>
            <w:r>
              <w:t xml:space="preserve">2　契約上の義務の有無にかかわらず、職業倫理として依頼者の意思を尊重し利益実現に努める</w:t>
            </w:r>
          </w:p>
        </w:tc>
      </w:tr>
      <w:tr>
        <w:tc>
          <w:tcPr>
            <w:tcW w:type="dxa" w:w="900"/>
          </w:tcPr>
          <w:p>
            <w:pPr>
              <w:jc w:val="center"/>
            </w:pPr>
            <w:r>
              <w:t xml:space="preserve">☑</w:t>
            </w:r>
          </w:p>
        </w:tc>
        <w:tc>
          <w:tcPr>
            <w:tcW w:type="dxa" w:w="8500"/>
          </w:tcPr>
          <w:p>
            <w:r>
              <w:t xml:space="preserve">3　代表者が知識・能力向上と適正な業務遂行の重要性を認識し、社内外に発信するとともに整合的な取組を実施する</w:t>
            </w:r>
          </w:p>
        </w:tc>
      </w:tr>
      <w:tr>
        <w:tc>
          <w:tcPr>
            <w:tcW w:type="dxa" w:w="900"/>
          </w:tcPr>
          <w:p>
            <w:pPr>
              <w:jc w:val="center"/>
            </w:pPr>
            <w:r>
              <w:t xml:space="preserve">☑</w:t>
            </w:r>
          </w:p>
        </w:tc>
        <w:tc>
          <w:tcPr>
            <w:tcW w:type="dxa" w:w="8500"/>
          </w:tcPr>
          <w:p>
            <w:r>
              <w:t xml:space="preserve">4　知識・能力の向上のため実効性のある取組を実施する</w:t>
            </w:r>
          </w:p>
        </w:tc>
      </w:tr>
      <w:tr>
        <w:tc>
          <w:tcPr>
            <w:tcW w:type="dxa" w:w="900"/>
          </w:tcPr>
          <w:p>
            <w:pPr>
              <w:jc w:val="center"/>
            </w:pPr>
            <w:r>
              <w:t xml:space="preserve">☑</w:t>
            </w:r>
          </w:p>
        </w:tc>
        <w:tc>
          <w:tcPr>
            <w:tcW w:type="dxa" w:w="8500"/>
          </w:tcPr>
          <w:p>
            <w:r>
              <w:t xml:space="preserve">5　支援業務を行う役員・従業員における適正な業務遂行を確保する取組を実施する</w:t>
            </w:r>
          </w:p>
        </w:tc>
      </w:tr>
      <w:tr>
        <w:tc>
          <w:tcPr>
            <w:tcW w:type="dxa" w:w="900"/>
          </w:tcPr>
          <w:p>
            <w:pPr>
              <w:jc w:val="center"/>
            </w:pPr>
            <w:r>
              <w:t xml:space="preserve">☑</w:t>
            </w:r>
          </w:p>
        </w:tc>
        <w:tc>
          <w:tcPr>
            <w:tcW w:type="dxa" w:w="8500"/>
          </w:tcPr>
          <w:p>
            <w:r>
              <w:t xml:space="preserve">6　業務の一部を第三者に委託する場合、外部委託先における適正な業務遂行を確保する取組を実施する</w:t>
            </w:r>
          </w:p>
        </w:tc>
      </w:tr>
    </w:tbl>
    <w:p>
      <w:pPr>
        <w:pStyle w:val="Heading2"/>
        <w:spacing w:after="120" w:before="240"/>
      </w:pPr>
      <w:r>
        <w:t xml:space="preserve">○M&amp;Aプロセスにおける具体的な行動指針【意思決定】</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7　専門的な知見に基づき実践的な提案を行い意思決定を支援する。重要なメリット・デメリットを明示的に説明し、企業情報の取扱いに善管注意義務を負う自覚を持つ</w:t>
            </w:r>
          </w:p>
        </w:tc>
      </w:tr>
      <w:tr>
        <w:tc>
          <w:tcPr>
            <w:tcW w:type="dxa" w:w="900"/>
          </w:tcPr>
          <w:p>
            <w:pPr>
              <w:jc w:val="center"/>
            </w:pPr>
            <w:r>
              <w:t xml:space="preserve">☑</w:t>
            </w:r>
          </w:p>
        </w:tc>
        <w:tc>
          <w:tcPr>
            <w:tcW w:type="dxa" w:w="8500"/>
          </w:tcPr>
          <w:p>
            <w:r>
              <w:t xml:space="preserve">8　仲介契約・FA契約締結に向けた広告・営業は次の規律を遵守する:停止意思の表示があれば拒まずただちに停止/記録・共有/再開は組織的判断による/名称・目的を告げない・即時判断を迫る・事実と異なる広告営業は行わない</w:t>
            </w:r>
          </w:p>
        </w:tc>
      </w:tr>
    </w:tbl>
    <w:p>
      <w:pPr>
        <w:pStyle w:val="Heading2"/>
        <w:spacing w:after="120" w:before="240"/>
      </w:pPr>
      <w:r>
        <w:t xml:space="preserve">【仲介契約・FA契約の締結】</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9　業務形態の実態に合致した仲介契約・FA契約を締結する</w:t>
            </w:r>
          </w:p>
        </w:tc>
      </w:tr>
      <w:tr>
        <w:tc>
          <w:tcPr>
            <w:tcW w:type="dxa" w:w="900"/>
          </w:tcPr>
          <w:p>
            <w:pPr>
              <w:jc w:val="center"/>
            </w:pPr>
            <w:r>
              <w:t xml:space="preserve">☑</w:t>
            </w:r>
          </w:p>
        </w:tc>
        <w:tc>
          <w:tcPr>
            <w:tcW w:type="dxa" w:w="8500"/>
          </w:tcPr>
          <w:p>
            <w:r>
              <w:t xml:space="preserve">10　契約締結前に重要事項(1)仲介者・FAの違い(2)業務範囲(3)担当者資格・実績(4)手数料(5)諸費用(6)相手方手数料(7)秘密保持(8)直接交渉制限(9)専任条項(10)テール条項(11)契約期間(12)解除・中途解約(13)責任・免責(14)契約終了後も効力を持つ条項(15)利益相反想定事項(16)譲受側調査概要(17)業界内情報共有の参加有無を書面で説明する</w:t>
            </w:r>
          </w:p>
        </w:tc>
      </w:tr>
      <w:tr>
        <w:tc>
          <w:tcPr>
            <w:tcW w:type="dxa" w:w="900"/>
          </w:tcPr>
          <w:p>
            <w:pPr>
              <w:jc w:val="center"/>
            </w:pPr>
            <w:r>
              <w:t xml:space="preserve">☑</w:t>
            </w:r>
          </w:p>
        </w:tc>
        <w:tc>
          <w:tcPr>
            <w:tcW w:type="dxa" w:w="8500"/>
          </w:tcPr>
          <w:p>
            <w:r>
              <w:t xml:space="preserve">11　手数料・提供業務・相手方手数料は算定基準や発生タイミング等を書面で具体的に説明する</w:t>
            </w:r>
          </w:p>
        </w:tc>
      </w:tr>
      <w:tr>
        <w:tc>
          <w:tcPr>
            <w:tcW w:type="dxa" w:w="900"/>
          </w:tcPr>
          <w:p>
            <w:pPr>
              <w:jc w:val="center"/>
            </w:pPr>
            <w:r>
              <w:t xml:space="preserve">☑</w:t>
            </w:r>
          </w:p>
        </w:tc>
        <w:tc>
          <w:tcPr>
            <w:tcW w:type="dxa" w:w="8500"/>
          </w:tcPr>
          <w:p>
            <w:r>
              <w:t xml:space="preserve">12　上記説明は契約締結の権限を有する者に対して行う</w:t>
            </w:r>
          </w:p>
        </w:tc>
      </w:tr>
      <w:tr>
        <w:tc>
          <w:tcPr>
            <w:tcW w:type="dxa" w:w="900"/>
          </w:tcPr>
          <w:p>
            <w:pPr>
              <w:jc w:val="center"/>
            </w:pPr>
            <w:r>
              <w:t xml:space="preserve">☑</w:t>
            </w:r>
          </w:p>
        </w:tc>
        <w:tc>
          <w:tcPr>
            <w:tcW w:type="dxa" w:w="8500"/>
          </w:tcPr>
          <w:p>
            <w:r>
              <w:t xml:space="preserve">13　契約締結の判断に十分な検討時間を与える</w:t>
            </w:r>
          </w:p>
        </w:tc>
      </w:tr>
    </w:tbl>
    <w:p>
      <w:pPr>
        <w:pStyle w:val="Heading2"/>
        <w:spacing w:after="120" w:before="240"/>
      </w:pPr>
      <w:r>
        <w:t xml:space="preserve">【バリュエーション】【マッチング】【交渉】【DD】【最終契約】【クロージング】</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14　バリュエーション実施にあたり評価手法・前提条件を事前説明し納得を得る</w:t>
            </w:r>
          </w:p>
        </w:tc>
      </w:tr>
      <w:tr>
        <w:tc>
          <w:tcPr>
            <w:tcW w:type="dxa" w:w="900"/>
          </w:tcPr>
          <w:p>
            <w:pPr>
              <w:jc w:val="center"/>
            </w:pPr>
            <w:r>
              <w:t xml:space="preserve">☑</w:t>
            </w:r>
          </w:p>
        </w:tc>
        <w:tc>
          <w:tcPr>
            <w:tcW w:type="dxa" w:w="8500"/>
          </w:tcPr>
          <w:p>
            <w:r>
              <w:t xml:space="preserve">15　ネームクリアは譲渡側の同意取得と秘密保持契約締結を経て実施する</w:t>
            </w:r>
          </w:p>
        </w:tc>
      </w:tr>
      <w:tr>
        <w:tc>
          <w:tcPr>
            <w:tcW w:type="dxa" w:w="900"/>
          </w:tcPr>
          <w:p>
            <w:pPr>
              <w:jc w:val="center"/>
            </w:pPr>
            <w:r>
              <w:t xml:space="preserve">☑</w:t>
            </w:r>
          </w:p>
        </w:tc>
        <w:tc>
          <w:tcPr>
            <w:tcW w:type="dxa" w:w="8500"/>
          </w:tcPr>
          <w:p>
            <w:r>
              <w:t xml:space="preserve">16　譲渡側の同意は開示先ごとに個別に取得する</w:t>
            </w:r>
          </w:p>
        </w:tc>
      </w:tr>
      <w:tr>
        <w:tc>
          <w:tcPr>
            <w:tcW w:type="dxa" w:w="900"/>
          </w:tcPr>
          <w:p>
            <w:pPr>
              <w:jc w:val="center"/>
            </w:pPr>
            <w:r>
              <w:t xml:space="preserve">☑</w:t>
            </w:r>
          </w:p>
        </w:tc>
        <w:tc>
          <w:tcPr>
            <w:tcW w:type="dxa" w:w="8500"/>
          </w:tcPr>
          <w:p>
            <w:r>
              <w:t xml:space="preserve">17　秘密保持契約締結前の情報流出防止に注意する</w:t>
            </w:r>
          </w:p>
        </w:tc>
      </w:tr>
      <w:tr>
        <w:tc>
          <w:tcPr>
            <w:tcW w:type="dxa" w:w="900"/>
          </w:tcPr>
          <w:p>
            <w:pPr>
              <w:jc w:val="center"/>
            </w:pPr>
            <w:r>
              <w:t xml:space="preserve">☑</w:t>
            </w:r>
          </w:p>
        </w:tc>
        <w:tc>
          <w:tcPr>
            <w:tcW w:type="dxa" w:w="8500"/>
          </w:tcPr>
          <w:p>
            <w:r>
              <w:t xml:space="preserve">18　依頼者にわかりやすく説明し、寄り添う形で交渉をサポートする</w:t>
            </w:r>
          </w:p>
        </w:tc>
      </w:tr>
      <w:tr>
        <w:tc>
          <w:tcPr>
            <w:tcW w:type="dxa" w:w="900"/>
          </w:tcPr>
          <w:p>
            <w:pPr>
              <w:jc w:val="center"/>
            </w:pPr>
            <w:r>
              <w:t xml:space="preserve">☑</w:t>
            </w:r>
          </w:p>
        </w:tc>
        <w:tc>
          <w:tcPr>
            <w:tcW w:type="dxa" w:w="8500"/>
          </w:tcPr>
          <w:p>
            <w:r>
              <w:t xml:space="preserve">19　DDに必要な資料準備を促しサポートする</w:t>
            </w:r>
          </w:p>
        </w:tc>
      </w:tr>
      <w:tr>
        <w:tc>
          <w:tcPr>
            <w:tcW w:type="dxa" w:w="900"/>
          </w:tcPr>
          <w:p>
            <w:pPr>
              <w:jc w:val="center"/>
            </w:pPr>
            <w:r>
              <w:t xml:space="preserve">☑</w:t>
            </w:r>
          </w:p>
        </w:tc>
        <w:tc>
          <w:tcPr>
            <w:tcW w:type="dxa" w:w="8500"/>
          </w:tcPr>
          <w:p>
            <w:r>
              <w:t xml:space="preserve">20　両当事者が納得しトラブルリスクを低減した形で最終契約が締結されるよう支援する</w:t>
            </w:r>
          </w:p>
        </w:tc>
      </w:tr>
      <w:tr>
        <w:tc>
          <w:tcPr>
            <w:tcW w:type="dxa" w:w="900"/>
          </w:tcPr>
          <w:p>
            <w:pPr>
              <w:jc w:val="center"/>
            </w:pPr>
            <w:r>
              <w:t xml:space="preserve">☑</w:t>
            </w:r>
          </w:p>
        </w:tc>
        <w:tc>
          <w:tcPr>
            <w:tcW w:type="dxa" w:w="8500"/>
          </w:tcPr>
          <w:p>
            <w:r>
              <w:t xml:space="preserve">21　最終契約後・クロージング後のトラブルリスク(経営者保証、DD非実施、表明保証、支払調整等)について事前に調整・説明する</w:t>
            </w:r>
          </w:p>
        </w:tc>
      </w:tr>
      <w:tr>
        <w:tc>
          <w:tcPr>
            <w:tcW w:type="dxa" w:w="900"/>
          </w:tcPr>
          <w:p>
            <w:pPr>
              <w:jc w:val="center"/>
            </w:pPr>
            <w:r>
              <w:t xml:space="preserve">☑</w:t>
            </w:r>
          </w:p>
        </w:tc>
        <w:tc>
          <w:tcPr>
            <w:tcW w:type="dxa" w:w="8500"/>
          </w:tcPr>
          <w:p>
            <w:r>
              <w:t xml:space="preserve">22　最終契約締結にあたり契約内容に漏れがないか依頼者に再確認を促す</w:t>
            </w:r>
          </w:p>
        </w:tc>
      </w:tr>
      <w:tr>
        <w:tc>
          <w:tcPr>
            <w:tcW w:type="dxa" w:w="900"/>
          </w:tcPr>
          <w:p>
            <w:pPr>
              <w:jc w:val="center"/>
            </w:pPr>
            <w:r>
              <w:t xml:space="preserve">☑</w:t>
            </w:r>
          </w:p>
        </w:tc>
        <w:tc>
          <w:tcPr>
            <w:tcW w:type="dxa" w:w="8500"/>
          </w:tcPr>
          <w:p>
            <w:r>
              <w:t xml:space="preserve">23　クロージング当日に譲渡対価の入金を確認する</w:t>
            </w:r>
          </w:p>
        </w:tc>
      </w:tr>
    </w:tbl>
    <w:p>
      <w:pPr>
        <w:pStyle w:val="Heading2"/>
        <w:spacing w:after="120" w:before="240"/>
      </w:pPr>
      <w:r>
        <w:t xml:space="preserve">○不適切な譲り受け側の排除に向けた取組</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24　譲受側の意思・能力(財務状況・事業実態・反社チェック等)を調査し、契約締結前に概要を説明する。不適切情報を把握した場合は組織的に共有し慎重に対応する</w:t>
            </w:r>
          </w:p>
        </w:tc>
      </w:tr>
    </w:tbl>
    <w:p>
      <w:pPr>
        <w:pStyle w:val="Heading2"/>
        <w:spacing w:after="120" w:before="240"/>
      </w:pPr>
      <w:r>
        <w:t xml:space="preserve">○仲介契約・FA契約の契約条項に関する留意点(専任条項)</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25　専任条項の対象範囲を可能な限り限定し、セカンド・オピニオンを不当に妨げない</w:t>
            </w:r>
          </w:p>
        </w:tc>
      </w:tr>
      <w:tr>
        <w:tc>
          <w:tcPr>
            <w:tcW w:type="dxa" w:w="900"/>
          </w:tcPr>
          <w:p>
            <w:pPr>
              <w:jc w:val="center"/>
            </w:pPr>
            <w:r>
              <w:t xml:space="preserve">☑</w:t>
            </w:r>
          </w:p>
        </w:tc>
        <w:tc>
          <w:tcPr>
            <w:tcW w:type="dxa" w:w="8500"/>
          </w:tcPr>
          <w:p>
            <w:r>
              <w:t xml:space="preserve">26　専任条項の契約期間は最長6か月〜1年以内を目安とする</w:t>
            </w:r>
          </w:p>
        </w:tc>
      </w:tr>
      <w:tr>
        <w:tc>
          <w:tcPr>
            <w:tcW w:type="dxa" w:w="900"/>
          </w:tcPr>
          <w:p>
            <w:pPr>
              <w:jc w:val="center"/>
            </w:pPr>
            <w:r>
              <w:t xml:space="preserve">☑</w:t>
            </w:r>
          </w:p>
        </w:tc>
        <w:tc>
          <w:tcPr>
            <w:tcW w:type="dxa" w:w="8500"/>
          </w:tcPr>
          <w:p>
            <w:r>
              <w:t xml:space="preserve">27　依頼者が任意の時点で中途解約できることを明記する</w:t>
            </w:r>
          </w:p>
        </w:tc>
      </w:tr>
    </w:tbl>
    <w:p>
      <w:pPr>
        <w:pStyle w:val="Heading2"/>
        <w:spacing w:after="120" w:before="240"/>
      </w:pPr>
      <w:r>
        <w:t xml:space="preserve">(直接交渉の制限)</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28　直接交渉が制限される候補先は当社が関与・紹介した候補先のみに限定する</w:t>
            </w:r>
          </w:p>
        </w:tc>
      </w:tr>
      <w:tr>
        <w:tc>
          <w:tcPr>
            <w:tcW w:type="dxa" w:w="900"/>
          </w:tcPr>
          <w:p>
            <w:pPr>
              <w:jc w:val="center"/>
            </w:pPr>
            <w:r>
              <w:t xml:space="preserve">☑</w:t>
            </w:r>
          </w:p>
        </w:tc>
        <w:tc>
          <w:tcPr>
            <w:tcW w:type="dxa" w:w="8500"/>
          </w:tcPr>
          <w:p>
            <w:r>
              <w:t xml:space="preserve">29　制限される交渉は当該M&amp;Aに関する目的のものに限定する</w:t>
            </w:r>
          </w:p>
        </w:tc>
      </w:tr>
      <w:tr>
        <w:tc>
          <w:tcPr>
            <w:tcW w:type="dxa" w:w="900"/>
          </w:tcPr>
          <w:p>
            <w:pPr>
              <w:jc w:val="center"/>
            </w:pPr>
            <w:r>
              <w:t xml:space="preserve">☑</w:t>
            </w:r>
          </w:p>
        </w:tc>
        <w:tc>
          <w:tcPr>
            <w:tcW w:type="dxa" w:w="8500"/>
          </w:tcPr>
          <w:p>
            <w:r>
              <w:t xml:space="preserve">30　有効期間は仲介契約・FA契約が終了するまでに限定する</w:t>
            </w:r>
          </w:p>
        </w:tc>
      </w:tr>
    </w:tbl>
    <w:p>
      <w:pPr>
        <w:pStyle w:val="Heading2"/>
        <w:spacing w:after="120" w:before="240"/>
      </w:pPr>
      <w:r>
        <w:t xml:space="preserve">(テール条項)</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31　テール期間は最長2〜3年以内を目安とする</w:t>
            </w:r>
          </w:p>
        </w:tc>
      </w:tr>
      <w:tr>
        <w:tc>
          <w:tcPr>
            <w:tcW w:type="dxa" w:w="900"/>
          </w:tcPr>
          <w:p>
            <w:pPr>
              <w:jc w:val="center"/>
            </w:pPr>
            <w:r>
              <w:t xml:space="preserve">☑</w:t>
            </w:r>
          </w:p>
        </w:tc>
        <w:tc>
          <w:tcPr>
            <w:tcW w:type="dxa" w:w="8500"/>
          </w:tcPr>
          <w:p>
            <w:r>
              <w:t xml:space="preserve">32　対象はネームクリアのうえ紹介した譲受側のみに限定する</w:t>
            </w:r>
          </w:p>
        </w:tc>
      </w:tr>
      <w:tr>
        <w:tc>
          <w:tcPr>
            <w:tcW w:type="dxa" w:w="900"/>
          </w:tcPr>
          <w:p>
            <w:pPr>
              <w:jc w:val="center"/>
            </w:pPr>
            <w:r>
              <w:t xml:space="preserve">☑</w:t>
            </w:r>
          </w:p>
        </w:tc>
        <w:tc>
          <w:tcPr>
            <w:tcW w:type="dxa" w:w="8500"/>
          </w:tcPr>
          <w:p>
            <w:r>
              <w:t xml:space="preserve">33　専任条項がない場合、選択されなかったときはテール条項を根拠に請求しない</w:t>
            </w:r>
          </w:p>
        </w:tc>
      </w:tr>
    </w:tbl>
    <w:p>
      <w:pPr>
        <w:pStyle w:val="Heading2"/>
        <w:spacing w:after="120" w:before="240"/>
      </w:pPr>
      <w:r>
        <w:t xml:space="preserve">○仲介者における利益相反のリスクと現実的な対応策(仲介業務を行う場合)</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34　両当事者と契約する仲介者である旨(双方手数料受領の場合はその旨)を両当事者に伝える</w:t>
            </w:r>
          </w:p>
        </w:tc>
      </w:tr>
      <w:tr>
        <w:tc>
          <w:tcPr>
            <w:tcW w:type="dxa" w:w="900"/>
          </w:tcPr>
          <w:p>
            <w:pPr>
              <w:jc w:val="center"/>
            </w:pPr>
            <w:r>
              <w:t xml:space="preserve">☑</w:t>
            </w:r>
          </w:p>
        </w:tc>
        <w:tc>
          <w:tcPr>
            <w:tcW w:type="dxa" w:w="8500"/>
          </w:tcPr>
          <w:p>
            <w:r>
              <w:t xml:space="preserve">35　利益相反が想定される事項を契約前に説明し、認識した場合は都度開示する</w:t>
            </w:r>
          </w:p>
        </w:tc>
      </w:tr>
      <w:tr>
        <w:tc>
          <w:tcPr>
            <w:tcW w:type="dxa" w:w="900"/>
          </w:tcPr>
          <w:p>
            <w:pPr>
              <w:jc w:val="center"/>
            </w:pPr>
            <w:r>
              <w:t xml:space="preserve">☑</w:t>
            </w:r>
          </w:p>
        </w:tc>
        <w:tc>
          <w:tcPr>
            <w:tcW w:type="dxa" w:w="8500"/>
          </w:tcPr>
          <w:p>
            <w:r>
              <w:t xml:space="preserve">36　両当事者に中立・公平でなければならず、不当な利益相反行為を行わない</w:t>
            </w:r>
          </w:p>
        </w:tc>
      </w:tr>
      <w:tr>
        <w:tc>
          <w:tcPr>
            <w:tcW w:type="dxa" w:w="900"/>
          </w:tcPr>
          <w:p>
            <w:pPr>
              <w:jc w:val="center"/>
            </w:pPr>
            <w:r>
              <w:t xml:space="preserve">☑</w:t>
            </w:r>
          </w:p>
        </w:tc>
        <w:tc>
          <w:tcPr>
            <w:tcW w:type="dxa" w:w="8500"/>
          </w:tcPr>
          <w:p>
            <w:r>
              <w:t xml:space="preserve">37　譲受側からの追加手数料による便宜、リピーター優遇、差額報酬の要求、虚偽伝達、情報の秘匿を行わない旨を契約書に定める</w:t>
            </w:r>
          </w:p>
        </w:tc>
      </w:tr>
      <w:tr>
        <w:tc>
          <w:tcPr>
            <w:tcW w:type="dxa" w:w="900"/>
          </w:tcPr>
          <w:p>
            <w:pPr>
              <w:jc w:val="center"/>
            </w:pPr>
            <w:r>
              <w:t xml:space="preserve">☑</w:t>
            </w:r>
          </w:p>
        </w:tc>
        <w:tc>
          <w:tcPr>
            <w:tcW w:type="dxa" w:w="8500"/>
          </w:tcPr>
          <w:p>
            <w:r>
              <w:t xml:space="preserve">38　確定的なバリュエーションを実施せず、必要に応じ専門家の意見を求めるよう伝える</w:t>
            </w:r>
          </w:p>
        </w:tc>
      </w:tr>
      <w:tr>
        <w:tc>
          <w:tcPr>
            <w:tcW w:type="dxa" w:w="900"/>
          </w:tcPr>
          <w:p>
            <w:pPr>
              <w:jc w:val="center"/>
            </w:pPr>
            <w:r>
              <w:t xml:space="preserve">☑</w:t>
            </w:r>
          </w:p>
        </w:tc>
        <w:tc>
          <w:tcPr>
            <w:tcW w:type="dxa" w:w="8500"/>
          </w:tcPr>
          <w:p>
            <w:r>
              <w:t xml:space="preserve">39　簡易評価を示す場合は、確定的でない旨・考慮した意向内容・専門家相談が可能な旨を明示する</w:t>
            </w:r>
          </w:p>
        </w:tc>
      </w:tr>
      <w:tr>
        <w:tc>
          <w:tcPr>
            <w:tcW w:type="dxa" w:w="900"/>
          </w:tcPr>
          <w:p>
            <w:pPr>
              <w:jc w:val="center"/>
            </w:pPr>
            <w:r>
              <w:t xml:space="preserve">☑</w:t>
            </w:r>
          </w:p>
        </w:tc>
        <w:tc>
          <w:tcPr>
            <w:tcW w:type="dxa" w:w="8500"/>
          </w:tcPr>
          <w:p>
            <w:r>
              <w:t xml:space="preserve">40　交渉において中立性・公平性をもって両当事者の利益実現を図る</w:t>
            </w:r>
          </w:p>
        </w:tc>
      </w:tr>
      <w:tr>
        <w:tc>
          <w:tcPr>
            <w:tcW w:type="dxa" w:w="900"/>
          </w:tcPr>
          <w:p>
            <w:pPr>
              <w:jc w:val="center"/>
            </w:pPr>
            <w:r>
              <w:t xml:space="preserve">☑</w:t>
            </w:r>
          </w:p>
        </w:tc>
        <w:tc>
          <w:tcPr>
            <w:tcW w:type="dxa" w:w="8500"/>
          </w:tcPr>
          <w:p>
            <w:r>
              <w:t xml:space="preserve">41　DDを自ら実施・結論付けせず、専門家の意見を求めるよう伝える</w:t>
            </w:r>
          </w:p>
        </w:tc>
      </w:tr>
    </w:tbl>
    <w:p>
      <w:pPr>
        <w:pStyle w:val="Heading2"/>
        <w:spacing w:after="120" w:before="240"/>
      </w:pPr>
      <w:r>
        <w:t xml:space="preserve">○その他</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c>
          <w:tcPr>
            <w:tcW w:type="dxa" w:w="900"/>
          </w:tcPr>
          <w:p>
            <w:pPr>
              <w:jc w:val="center"/>
            </w:pPr>
            <w:r>
              <w:t xml:space="preserve">☑</w:t>
            </w:r>
          </w:p>
        </w:tc>
        <w:tc>
          <w:tcPr>
            <w:tcW w:type="dxa" w:w="8500"/>
          </w:tcPr>
          <w:p>
            <w:r>
              <w:t xml:space="preserve">42　上記の他、中小M&amp;Aガイドラインの趣旨に則った対応をするよう努める</w:t>
            </w:r>
          </w:p>
        </w:tc>
      </w:tr>
    </w:tbl>
    <w:p>
      <w:pPr>
        <w:spacing w:before="200"/>
      </w:pPr>
    </w:p>
    <w:p>
      <w:pPr>
        <w:jc w:val="right"/>
      </w:pPr>
      <w:r>
        <w:rPr>
          <w:sz w:val="22"/>
          <w:szCs w:val="22"/>
        </w:rPr>
        <w:t xml:space="preserve">以上</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2026-08-20T23:10:52.715Z</dcterms:created>
  <dcterms:modified xsi:type="dcterms:W3CDTF">2026-08-20T23:10:52.728Z</dcterms:modified>
</cp:coreProperties>
</file>

<file path=docProps/custom.xml><?xml version="1.0" encoding="utf-8"?>
<Properties xmlns="http://schemas.openxmlformats.org/officeDocument/2006/custom-properties" xmlns:vt="http://schemas.openxmlformats.org/officeDocument/2006/docPropsVTypes"/>
</file>